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C16B35" w14:textId="3B688A33" w:rsidR="00044CCA" w:rsidRPr="00044CCA" w:rsidRDefault="00262A17" w:rsidP="00044CCA">
      <w:pPr>
        <w:jc w:val="center"/>
        <w:rPr>
          <w:rFonts w:ascii="Garamond" w:hAnsi="Garamond"/>
          <w:b/>
          <w:bCs/>
          <w:sz w:val="26"/>
          <w:szCs w:val="26"/>
        </w:rPr>
      </w:pPr>
      <w:r w:rsidRPr="00044CCA">
        <w:rPr>
          <w:rFonts w:ascii="Garamond" w:hAnsi="Garamond"/>
          <w:noProof/>
          <w:sz w:val="26"/>
          <w:szCs w:val="26"/>
        </w:rPr>
        <w:drawing>
          <wp:anchor distT="0" distB="0" distL="114300" distR="114300" simplePos="0" relativeHeight="251660288" behindDoc="0" locked="0" layoutInCell="1" allowOverlap="1" wp14:anchorId="44F52E51" wp14:editId="32A34178">
            <wp:simplePos x="0" y="0"/>
            <wp:positionH relativeFrom="column">
              <wp:posOffset>3962415</wp:posOffset>
            </wp:positionH>
            <wp:positionV relativeFrom="paragraph">
              <wp:posOffset>10160</wp:posOffset>
            </wp:positionV>
            <wp:extent cx="1985645" cy="902970"/>
            <wp:effectExtent l="0" t="0" r="0" b="0"/>
            <wp:wrapThrough wrapText="bothSides">
              <wp:wrapPolygon edited="0">
                <wp:start x="0" y="0"/>
                <wp:lineTo x="0" y="20962"/>
                <wp:lineTo x="21344" y="20962"/>
                <wp:lineTo x="21344" y="0"/>
                <wp:lineTo x="0" y="0"/>
              </wp:wrapPolygon>
            </wp:wrapThrough>
            <wp:docPr id="3" name="Picture 3"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with low confidenc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85645" cy="9029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44CCA">
        <w:rPr>
          <w:rFonts w:ascii="Garamond" w:hAnsi="Garamond"/>
          <w:b/>
          <w:bCs/>
          <w:noProof/>
          <w:sz w:val="26"/>
          <w:szCs w:val="26"/>
        </w:rPr>
        <w:drawing>
          <wp:anchor distT="0" distB="0" distL="114300" distR="114300" simplePos="0" relativeHeight="251664384" behindDoc="0" locked="0" layoutInCell="1" allowOverlap="1" wp14:anchorId="3E39A024" wp14:editId="668121D5">
            <wp:simplePos x="0" y="0"/>
            <wp:positionH relativeFrom="column">
              <wp:posOffset>-13010</wp:posOffset>
            </wp:positionH>
            <wp:positionV relativeFrom="paragraph">
              <wp:posOffset>0</wp:posOffset>
            </wp:positionV>
            <wp:extent cx="1873885" cy="1054100"/>
            <wp:effectExtent l="0" t="0" r="0" b="0"/>
            <wp:wrapThrough wrapText="bothSides">
              <wp:wrapPolygon edited="0">
                <wp:start x="0" y="0"/>
                <wp:lineTo x="0" y="21080"/>
                <wp:lineTo x="21300" y="21080"/>
                <wp:lineTo x="21300" y="0"/>
                <wp:lineTo x="0" y="0"/>
              </wp:wrapPolygon>
            </wp:wrapThrough>
            <wp:docPr id="45566990" name="Picture 2" descr="A red logo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66990" name="Picture 2" descr="A red logo with white text&#10;&#10;AI-generated content may be incorrec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73885" cy="1054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44CCA">
        <w:rPr>
          <w:rFonts w:ascii="Garamond" w:hAnsi="Garamond"/>
          <w:noProof/>
          <w:sz w:val="26"/>
          <w:szCs w:val="26"/>
        </w:rPr>
        <w:drawing>
          <wp:anchor distT="0" distB="0" distL="114300" distR="114300" simplePos="0" relativeHeight="251659264" behindDoc="1" locked="0" layoutInCell="1" allowOverlap="1" wp14:anchorId="2D019C2E" wp14:editId="348A94AE">
            <wp:simplePos x="0" y="0"/>
            <wp:positionH relativeFrom="column">
              <wp:posOffset>2174402</wp:posOffset>
            </wp:positionH>
            <wp:positionV relativeFrom="paragraph">
              <wp:posOffset>-227330</wp:posOffset>
            </wp:positionV>
            <wp:extent cx="1390650" cy="1390650"/>
            <wp:effectExtent l="0" t="0" r="0" b="0"/>
            <wp:wrapNone/>
            <wp:docPr id="2" name="Picture 2" descr="Logos - Loyola Marymount Univer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x_Picture 2" descr="Logos - Loyola Marymount University"/>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90650" cy="13906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3940BB" w14:textId="3E37C1DF" w:rsidR="00101094" w:rsidRPr="00044CCA" w:rsidRDefault="00101094" w:rsidP="00101094">
      <w:pPr>
        <w:jc w:val="center"/>
        <w:rPr>
          <w:rFonts w:ascii="Garamond" w:hAnsi="Garamond"/>
          <w:b/>
          <w:bCs/>
          <w:sz w:val="26"/>
          <w:szCs w:val="26"/>
        </w:rPr>
      </w:pPr>
    </w:p>
    <w:p w14:paraId="5D516423" w14:textId="272A3007" w:rsidR="00121CEA" w:rsidRPr="00044CCA" w:rsidRDefault="00121CEA" w:rsidP="00121CEA">
      <w:pPr>
        <w:jc w:val="center"/>
        <w:rPr>
          <w:rFonts w:ascii="Garamond" w:hAnsi="Garamond"/>
          <w:b/>
          <w:bCs/>
          <w:i/>
          <w:iCs/>
          <w:sz w:val="26"/>
          <w:szCs w:val="26"/>
        </w:rPr>
      </w:pPr>
    </w:p>
    <w:p w14:paraId="01752F23" w14:textId="440BAED7" w:rsidR="00101094" w:rsidRPr="00044CCA" w:rsidRDefault="00101094" w:rsidP="00101094">
      <w:pPr>
        <w:jc w:val="center"/>
        <w:rPr>
          <w:rFonts w:ascii="Garamond" w:hAnsi="Garamond"/>
          <w:b/>
          <w:bCs/>
          <w:i/>
          <w:iCs/>
          <w:sz w:val="26"/>
          <w:szCs w:val="26"/>
        </w:rPr>
      </w:pPr>
    </w:p>
    <w:p w14:paraId="15BA4F3F" w14:textId="17A638E9" w:rsidR="00801791" w:rsidRPr="00801791" w:rsidRDefault="00801791" w:rsidP="00801791">
      <w:pPr>
        <w:jc w:val="center"/>
        <w:rPr>
          <w:rFonts w:ascii="Garamond" w:hAnsi="Garamond"/>
          <w:b/>
          <w:bCs/>
          <w:sz w:val="26"/>
          <w:szCs w:val="26"/>
        </w:rPr>
      </w:pPr>
      <w:r w:rsidRPr="00801791">
        <w:rPr>
          <w:rFonts w:ascii="Garamond" w:hAnsi="Garamond"/>
          <w:b/>
          <w:bCs/>
          <w:sz w:val="26"/>
          <w:szCs w:val="26"/>
        </w:rPr>
        <w:drawing>
          <wp:anchor distT="0" distB="0" distL="114300" distR="114300" simplePos="0" relativeHeight="251666432" behindDoc="1" locked="0" layoutInCell="1" allowOverlap="1" wp14:anchorId="29608599" wp14:editId="3F9B3949">
            <wp:simplePos x="0" y="0"/>
            <wp:positionH relativeFrom="column">
              <wp:posOffset>616423</wp:posOffset>
            </wp:positionH>
            <wp:positionV relativeFrom="paragraph">
              <wp:posOffset>171450</wp:posOffset>
            </wp:positionV>
            <wp:extent cx="2048510" cy="864235"/>
            <wp:effectExtent l="0" t="0" r="8890" b="0"/>
            <wp:wrapNone/>
            <wp:docPr id="1930880861" name="Picture 4"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0880861" name="Picture 4" descr="A black background with white text&#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48510" cy="8642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01791">
        <w:rPr>
          <w:rFonts w:ascii="Garamond" w:hAnsi="Garamond"/>
          <w:b/>
          <w:bCs/>
          <w:sz w:val="26"/>
          <w:szCs w:val="26"/>
        </w:rPr>
        <w:drawing>
          <wp:anchor distT="0" distB="0" distL="114300" distR="114300" simplePos="0" relativeHeight="251665408" behindDoc="0" locked="0" layoutInCell="1" allowOverlap="1" wp14:anchorId="4772AF42" wp14:editId="74CEE103">
            <wp:simplePos x="0" y="0"/>
            <wp:positionH relativeFrom="column">
              <wp:posOffset>3181350</wp:posOffset>
            </wp:positionH>
            <wp:positionV relativeFrom="paragraph">
              <wp:posOffset>172085</wp:posOffset>
            </wp:positionV>
            <wp:extent cx="2019300" cy="863600"/>
            <wp:effectExtent l="0" t="0" r="0" b="0"/>
            <wp:wrapThrough wrapText="bothSides">
              <wp:wrapPolygon edited="0">
                <wp:start x="0" y="0"/>
                <wp:lineTo x="0" y="20965"/>
                <wp:lineTo x="21396" y="20965"/>
                <wp:lineTo x="21396" y="0"/>
                <wp:lineTo x="0" y="0"/>
              </wp:wrapPolygon>
            </wp:wrapThrough>
            <wp:docPr id="462021005" name="Picture 2"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2021005" name="Picture 2" descr="A blue and white logo&#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19300" cy="863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F20E87" w14:textId="694AE484" w:rsidR="00801791" w:rsidRPr="00801791" w:rsidRDefault="00801791" w:rsidP="00801791">
      <w:pPr>
        <w:rPr>
          <w:rFonts w:ascii="Garamond" w:hAnsi="Garamond"/>
          <w:b/>
          <w:bCs/>
          <w:sz w:val="26"/>
          <w:szCs w:val="26"/>
        </w:rPr>
      </w:pPr>
    </w:p>
    <w:p w14:paraId="14725786" w14:textId="3F2449FA" w:rsidR="00B10278" w:rsidRPr="00044CCA" w:rsidRDefault="00B10278" w:rsidP="00121CEA">
      <w:pPr>
        <w:rPr>
          <w:rFonts w:ascii="Garamond" w:hAnsi="Garamond"/>
          <w:b/>
          <w:bCs/>
          <w:sz w:val="26"/>
          <w:szCs w:val="26"/>
        </w:rPr>
      </w:pPr>
    </w:p>
    <w:p w14:paraId="40E151D1" w14:textId="33492053" w:rsidR="00F265D6" w:rsidRPr="00044CCA" w:rsidRDefault="00F265D6" w:rsidP="00121CEA">
      <w:pPr>
        <w:rPr>
          <w:rFonts w:ascii="Garamond" w:hAnsi="Garamond"/>
          <w:b/>
          <w:bCs/>
          <w:sz w:val="26"/>
          <w:szCs w:val="26"/>
        </w:rPr>
      </w:pPr>
    </w:p>
    <w:p w14:paraId="4DFB23AB" w14:textId="77777777" w:rsidR="00801791" w:rsidRDefault="00801791" w:rsidP="00277962">
      <w:pPr>
        <w:jc w:val="center"/>
        <w:rPr>
          <w:rFonts w:ascii="Garamond" w:hAnsi="Garamond"/>
          <w:b/>
          <w:bCs/>
          <w:color w:val="404040" w:themeColor="text1" w:themeTint="BF"/>
          <w:sz w:val="48"/>
          <w:szCs w:val="48"/>
        </w:rPr>
      </w:pPr>
    </w:p>
    <w:p w14:paraId="69962324" w14:textId="20D95E16" w:rsidR="00101094" w:rsidRPr="00044CCA" w:rsidRDefault="00101094" w:rsidP="00277962">
      <w:pPr>
        <w:jc w:val="center"/>
        <w:rPr>
          <w:rFonts w:ascii="Garamond" w:hAnsi="Garamond"/>
          <w:b/>
          <w:bCs/>
          <w:color w:val="404040" w:themeColor="text1" w:themeTint="BF"/>
          <w:sz w:val="48"/>
          <w:szCs w:val="48"/>
        </w:rPr>
      </w:pPr>
      <w:r w:rsidRPr="00044CCA">
        <w:rPr>
          <w:rFonts w:ascii="Garamond" w:hAnsi="Garamond"/>
          <w:b/>
          <w:bCs/>
          <w:color w:val="404040" w:themeColor="text1" w:themeTint="BF"/>
          <w:sz w:val="48"/>
          <w:szCs w:val="48"/>
        </w:rPr>
        <w:t>Political Theologies of</w:t>
      </w:r>
      <w:r w:rsidR="00044CCA" w:rsidRPr="00044CCA">
        <w:rPr>
          <w:rFonts w:ascii="Garamond" w:hAnsi="Garamond"/>
          <w:b/>
          <w:bCs/>
          <w:color w:val="404040" w:themeColor="text1" w:themeTint="BF"/>
          <w:sz w:val="48"/>
          <w:szCs w:val="48"/>
        </w:rPr>
        <w:t xml:space="preserve"> </w:t>
      </w:r>
      <w:proofErr w:type="gramStart"/>
      <w:r w:rsidR="00044CCA" w:rsidRPr="00044CCA">
        <w:rPr>
          <w:rFonts w:ascii="Garamond" w:hAnsi="Garamond"/>
          <w:b/>
          <w:bCs/>
          <w:color w:val="404040" w:themeColor="text1" w:themeTint="BF"/>
          <w:sz w:val="48"/>
          <w:szCs w:val="48"/>
        </w:rPr>
        <w:t xml:space="preserve">Constitutions,   </w:t>
      </w:r>
      <w:proofErr w:type="gramEnd"/>
      <w:r w:rsidR="00044CCA" w:rsidRPr="00044CCA">
        <w:rPr>
          <w:rFonts w:ascii="Garamond" w:hAnsi="Garamond"/>
          <w:b/>
          <w:bCs/>
          <w:color w:val="404040" w:themeColor="text1" w:themeTint="BF"/>
          <w:sz w:val="48"/>
          <w:szCs w:val="48"/>
        </w:rPr>
        <w:t xml:space="preserve">     the Rule of Law, and the Common Good</w:t>
      </w:r>
    </w:p>
    <w:p w14:paraId="2AD68C1F" w14:textId="2A22BA08" w:rsidR="00044CCA" w:rsidRDefault="00044CCA" w:rsidP="00101094">
      <w:pPr>
        <w:jc w:val="center"/>
        <w:rPr>
          <w:rFonts w:ascii="Garamond" w:hAnsi="Garamond"/>
          <w:i/>
          <w:iCs/>
          <w:sz w:val="26"/>
          <w:szCs w:val="26"/>
        </w:rPr>
      </w:pPr>
    </w:p>
    <w:p w14:paraId="26866C74" w14:textId="4FCEFBBD" w:rsidR="00F265D6" w:rsidRPr="00801791" w:rsidRDefault="00801791" w:rsidP="00101094">
      <w:pPr>
        <w:jc w:val="center"/>
        <w:rPr>
          <w:rFonts w:ascii="Garamond" w:hAnsi="Garamond"/>
          <w:i/>
          <w:iCs/>
          <w:sz w:val="32"/>
          <w:szCs w:val="32"/>
        </w:rPr>
      </w:pPr>
      <w:r w:rsidRPr="00801791">
        <w:rPr>
          <w:rFonts w:ascii="Garamond" w:hAnsi="Garamond"/>
          <w:i/>
          <w:iCs/>
          <w:sz w:val="32"/>
          <w:szCs w:val="32"/>
        </w:rPr>
        <w:t>23-24</w:t>
      </w:r>
      <w:r w:rsidR="00044CCA" w:rsidRPr="00801791">
        <w:rPr>
          <w:rFonts w:ascii="Garamond" w:hAnsi="Garamond"/>
          <w:i/>
          <w:iCs/>
          <w:sz w:val="32"/>
          <w:szCs w:val="32"/>
        </w:rPr>
        <w:t xml:space="preserve"> April 2026</w:t>
      </w:r>
    </w:p>
    <w:p w14:paraId="3FCF0068" w14:textId="5CB4850E" w:rsidR="00101094" w:rsidRPr="00044CCA" w:rsidRDefault="00262A17" w:rsidP="00101094">
      <w:pPr>
        <w:jc w:val="center"/>
        <w:rPr>
          <w:rFonts w:ascii="Garamond" w:hAnsi="Garamond"/>
          <w:i/>
          <w:iCs/>
          <w:sz w:val="32"/>
          <w:szCs w:val="32"/>
        </w:rPr>
      </w:pPr>
      <w:r>
        <w:rPr>
          <w:rFonts w:ascii="Garamond" w:hAnsi="Garamond"/>
          <w:i/>
          <w:iCs/>
          <w:sz w:val="32"/>
          <w:szCs w:val="32"/>
        </w:rPr>
        <w:t>University of</w:t>
      </w:r>
      <w:r w:rsidR="00044CCA" w:rsidRPr="00801791">
        <w:rPr>
          <w:rFonts w:ascii="Garamond" w:hAnsi="Garamond"/>
          <w:i/>
          <w:iCs/>
          <w:sz w:val="32"/>
          <w:szCs w:val="32"/>
        </w:rPr>
        <w:t xml:space="preserve"> Cambridge</w:t>
      </w:r>
    </w:p>
    <w:p w14:paraId="722A8100" w14:textId="77777777" w:rsidR="00277962" w:rsidRPr="00044CCA" w:rsidRDefault="00277962" w:rsidP="00B10278">
      <w:pPr>
        <w:rPr>
          <w:rFonts w:ascii="Garamond" w:hAnsi="Garamond"/>
          <w:i/>
          <w:iCs/>
          <w:sz w:val="26"/>
          <w:szCs w:val="26"/>
        </w:rPr>
      </w:pPr>
    </w:p>
    <w:p w14:paraId="441AFEB8" w14:textId="67CE408E" w:rsidR="00044CCA" w:rsidRPr="00801791" w:rsidRDefault="00044CCA" w:rsidP="00044CCA">
      <w:pPr>
        <w:spacing w:line="276" w:lineRule="auto"/>
        <w:jc w:val="both"/>
        <w:rPr>
          <w:rFonts w:ascii="Garamond" w:hAnsi="Garamond"/>
          <w:sz w:val="24"/>
          <w:szCs w:val="24"/>
        </w:rPr>
      </w:pPr>
      <w:r w:rsidRPr="00801791">
        <w:rPr>
          <w:rFonts w:ascii="Garamond" w:hAnsi="Garamond"/>
          <w:sz w:val="24"/>
          <w:szCs w:val="24"/>
        </w:rPr>
        <w:t xml:space="preserve">The constitution functions not only as a legal framework but also as a symbolic and practical foundation for societal life. This brings to the fore the role of constitutional values and principles as shared reference points. Constitutions may be seen as manifestations of common values and principles, as </w:t>
      </w:r>
      <w:r w:rsidRPr="00801791">
        <w:rPr>
          <w:rFonts w:ascii="Garamond" w:hAnsi="Garamond"/>
          <w:sz w:val="24"/>
          <w:szCs w:val="24"/>
        </w:rPr>
        <w:t xml:space="preserve">articulations of normative frameworks, as institutional responses to collective challenges, expressions of a </w:t>
      </w:r>
      <w:r w:rsidR="00EB48EC" w:rsidRPr="00801791">
        <w:rPr>
          <w:rFonts w:ascii="Garamond" w:hAnsi="Garamond"/>
          <w:sz w:val="24"/>
          <w:szCs w:val="24"/>
        </w:rPr>
        <w:t xml:space="preserve">general </w:t>
      </w:r>
      <w:r w:rsidRPr="00801791">
        <w:rPr>
          <w:rFonts w:ascii="Garamond" w:hAnsi="Garamond"/>
          <w:sz w:val="24"/>
          <w:szCs w:val="24"/>
        </w:rPr>
        <w:t>will</w:t>
      </w:r>
      <w:r w:rsidR="00EB48EC" w:rsidRPr="00801791">
        <w:rPr>
          <w:rFonts w:ascii="Garamond" w:hAnsi="Garamond"/>
          <w:sz w:val="24"/>
          <w:szCs w:val="24"/>
        </w:rPr>
        <w:t>, or articulations of a covenant</w:t>
      </w:r>
      <w:r w:rsidRPr="00801791">
        <w:rPr>
          <w:rFonts w:ascii="Garamond" w:hAnsi="Garamond"/>
          <w:sz w:val="24"/>
          <w:szCs w:val="24"/>
        </w:rPr>
        <w:t>. However, polarisation, individualisation</w:t>
      </w:r>
      <w:r w:rsidRPr="00801791">
        <w:rPr>
          <w:rFonts w:ascii="Garamond" w:hAnsi="Garamond"/>
          <w:sz w:val="24"/>
          <w:szCs w:val="24"/>
        </w:rPr>
        <w:t xml:space="preserve">, and the fragmentation of social life </w:t>
      </w:r>
      <w:r w:rsidR="00EB48EC" w:rsidRPr="00801791">
        <w:rPr>
          <w:rFonts w:ascii="Garamond" w:hAnsi="Garamond"/>
          <w:sz w:val="24"/>
          <w:szCs w:val="24"/>
        </w:rPr>
        <w:t xml:space="preserve">are </w:t>
      </w:r>
      <w:r w:rsidRPr="00801791">
        <w:rPr>
          <w:rFonts w:ascii="Garamond" w:hAnsi="Garamond"/>
          <w:sz w:val="24"/>
          <w:szCs w:val="24"/>
        </w:rPr>
        <w:t>alter</w:t>
      </w:r>
      <w:r w:rsidR="00EB48EC" w:rsidRPr="00801791">
        <w:rPr>
          <w:rFonts w:ascii="Garamond" w:hAnsi="Garamond"/>
          <w:sz w:val="24"/>
          <w:szCs w:val="24"/>
        </w:rPr>
        <w:t>ing</w:t>
      </w:r>
      <w:r w:rsidRPr="00801791">
        <w:rPr>
          <w:rFonts w:ascii="Garamond" w:hAnsi="Garamond"/>
          <w:sz w:val="24"/>
          <w:szCs w:val="24"/>
        </w:rPr>
        <w:t xml:space="preserve"> the role of constitutions in Western democracies. Today, constitutions have become </w:t>
      </w:r>
      <w:r w:rsidR="00EB48EC" w:rsidRPr="00801791">
        <w:rPr>
          <w:rFonts w:ascii="Garamond" w:hAnsi="Garamond"/>
          <w:sz w:val="24"/>
          <w:szCs w:val="24"/>
        </w:rPr>
        <w:t>caught up in</w:t>
      </w:r>
      <w:r w:rsidRPr="00801791">
        <w:rPr>
          <w:rFonts w:ascii="Garamond" w:hAnsi="Garamond"/>
          <w:sz w:val="24"/>
          <w:szCs w:val="24"/>
        </w:rPr>
        <w:t xml:space="preserve"> the so-called ‘culture </w:t>
      </w:r>
      <w:proofErr w:type="gramStart"/>
      <w:r w:rsidRPr="00801791">
        <w:rPr>
          <w:rFonts w:ascii="Garamond" w:hAnsi="Garamond"/>
          <w:sz w:val="24"/>
          <w:szCs w:val="24"/>
        </w:rPr>
        <w:t>wars’</w:t>
      </w:r>
      <w:proofErr w:type="gramEnd"/>
      <w:r w:rsidRPr="00801791">
        <w:rPr>
          <w:rFonts w:ascii="Garamond" w:hAnsi="Garamond"/>
          <w:sz w:val="24"/>
          <w:szCs w:val="24"/>
        </w:rPr>
        <w:t>.</w:t>
      </w:r>
    </w:p>
    <w:p w14:paraId="5AAAB05C" w14:textId="1065C83B" w:rsidR="00044CCA" w:rsidRPr="00801791" w:rsidRDefault="00044CCA" w:rsidP="00044CCA">
      <w:pPr>
        <w:spacing w:line="276" w:lineRule="auto"/>
        <w:jc w:val="both"/>
        <w:rPr>
          <w:rFonts w:ascii="Garamond" w:hAnsi="Garamond"/>
          <w:sz w:val="24"/>
          <w:szCs w:val="24"/>
        </w:rPr>
      </w:pPr>
      <w:r w:rsidRPr="00801791">
        <w:rPr>
          <w:rFonts w:ascii="Garamond" w:hAnsi="Garamond"/>
          <w:sz w:val="24"/>
          <w:szCs w:val="24"/>
        </w:rPr>
        <w:t>This sixth Political Theologies conference interrogates social, political, legal, ethical, and theological foundations of constitutions and related to that, how constitutions are seen to embody and be directed toward the common good. What are the stories of constitutions that are told across the political spectrum? How have they been shaped by political memory (and forgetfulness), confessional commitments, and conceptions of the common good? How can stories of constitutions and the ways that they are understood to enable the common good adapt to the needs of pluralistic and polarised political communities? What can they say about the international community as well as domestic politics? How do different political theologies enable or disable democratic visions of the role of constitutions and the rule of law?</w:t>
      </w:r>
    </w:p>
    <w:p w14:paraId="00169FAC" w14:textId="7EF834F0" w:rsidR="00044CCA" w:rsidRPr="00801791" w:rsidRDefault="00044CCA" w:rsidP="00044CCA">
      <w:pPr>
        <w:spacing w:line="276" w:lineRule="auto"/>
        <w:jc w:val="both"/>
        <w:rPr>
          <w:rFonts w:ascii="Garamond" w:hAnsi="Garamond"/>
          <w:sz w:val="24"/>
          <w:szCs w:val="24"/>
        </w:rPr>
      </w:pPr>
      <w:r w:rsidRPr="00801791">
        <w:rPr>
          <w:rFonts w:ascii="Garamond" w:hAnsi="Garamond"/>
          <w:sz w:val="24"/>
          <w:szCs w:val="24"/>
        </w:rPr>
        <w:t>Papers and panel suggestions are invited from scholars in political theory, sociology, law, theology and religious studies, politics, history, anthropology, and philosophy, and may refer to any of the categories below. Applications from early- and mid-career scholars are especially encouraged.</w:t>
      </w:r>
    </w:p>
    <w:p w14:paraId="6CD038AA" w14:textId="77777777" w:rsidR="00044CCA" w:rsidRPr="00801791" w:rsidRDefault="00044CCA" w:rsidP="00044CCA">
      <w:pPr>
        <w:pStyle w:val="ListParagraph"/>
        <w:numPr>
          <w:ilvl w:val="0"/>
          <w:numId w:val="5"/>
        </w:numPr>
        <w:spacing w:line="276" w:lineRule="auto"/>
        <w:jc w:val="both"/>
        <w:rPr>
          <w:rFonts w:ascii="Garamond" w:hAnsi="Garamond"/>
          <w:sz w:val="24"/>
          <w:szCs w:val="24"/>
        </w:rPr>
      </w:pPr>
      <w:r w:rsidRPr="00801791">
        <w:rPr>
          <w:rFonts w:ascii="Garamond" w:hAnsi="Garamond"/>
          <w:sz w:val="24"/>
          <w:szCs w:val="24"/>
        </w:rPr>
        <w:lastRenderedPageBreak/>
        <w:t>Constitutions and the common good</w:t>
      </w:r>
    </w:p>
    <w:p w14:paraId="0B1ABABC" w14:textId="77777777" w:rsidR="00044CCA" w:rsidRPr="00801791" w:rsidRDefault="00044CCA" w:rsidP="00044CCA">
      <w:pPr>
        <w:pStyle w:val="ListParagraph"/>
        <w:numPr>
          <w:ilvl w:val="0"/>
          <w:numId w:val="5"/>
        </w:numPr>
        <w:spacing w:line="276" w:lineRule="auto"/>
        <w:jc w:val="both"/>
        <w:rPr>
          <w:rFonts w:ascii="Garamond" w:hAnsi="Garamond"/>
          <w:sz w:val="24"/>
          <w:szCs w:val="24"/>
        </w:rPr>
      </w:pPr>
      <w:r w:rsidRPr="00801791">
        <w:rPr>
          <w:rFonts w:ascii="Garamond" w:hAnsi="Garamond"/>
          <w:sz w:val="24"/>
          <w:szCs w:val="24"/>
        </w:rPr>
        <w:t>‘Common good constitutionalism’ – its champions and its critics</w:t>
      </w:r>
    </w:p>
    <w:p w14:paraId="1B7A8435" w14:textId="77777777" w:rsidR="00044CCA" w:rsidRPr="00801791" w:rsidRDefault="00044CCA" w:rsidP="00044CCA">
      <w:pPr>
        <w:pStyle w:val="ListParagraph"/>
        <w:numPr>
          <w:ilvl w:val="0"/>
          <w:numId w:val="5"/>
        </w:numPr>
        <w:spacing w:line="276" w:lineRule="auto"/>
        <w:jc w:val="both"/>
        <w:rPr>
          <w:rFonts w:ascii="Garamond" w:hAnsi="Garamond"/>
          <w:sz w:val="24"/>
          <w:szCs w:val="24"/>
        </w:rPr>
      </w:pPr>
      <w:r w:rsidRPr="00801791">
        <w:rPr>
          <w:rFonts w:ascii="Garamond" w:hAnsi="Garamond"/>
          <w:sz w:val="24"/>
          <w:szCs w:val="24"/>
        </w:rPr>
        <w:t>Founding narratives and myths of nationalism and statehood</w:t>
      </w:r>
    </w:p>
    <w:p w14:paraId="462EAACA" w14:textId="54353CF5" w:rsidR="00044CCA" w:rsidRPr="00801791" w:rsidRDefault="00044CCA" w:rsidP="00044CCA">
      <w:pPr>
        <w:pStyle w:val="ListParagraph"/>
        <w:numPr>
          <w:ilvl w:val="0"/>
          <w:numId w:val="5"/>
        </w:numPr>
        <w:spacing w:line="276" w:lineRule="auto"/>
        <w:jc w:val="both"/>
        <w:rPr>
          <w:rFonts w:ascii="Garamond" w:hAnsi="Garamond"/>
          <w:sz w:val="24"/>
          <w:szCs w:val="24"/>
        </w:rPr>
      </w:pPr>
      <w:r w:rsidRPr="00801791">
        <w:rPr>
          <w:rFonts w:ascii="Garamond" w:hAnsi="Garamond"/>
          <w:sz w:val="24"/>
          <w:szCs w:val="24"/>
        </w:rPr>
        <w:t>The place of religion in constitutional frameworks, preambles, or constitutional texts</w:t>
      </w:r>
      <w:r w:rsidR="00CC7023" w:rsidRPr="00801791">
        <w:rPr>
          <w:rFonts w:ascii="Garamond" w:hAnsi="Garamond"/>
          <w:sz w:val="24"/>
          <w:szCs w:val="24"/>
        </w:rPr>
        <w:t xml:space="preserve"> (for example, establishment clauses)</w:t>
      </w:r>
    </w:p>
    <w:p w14:paraId="075AD071" w14:textId="77777777" w:rsidR="00044CCA" w:rsidRPr="00801791" w:rsidRDefault="00044CCA" w:rsidP="00044CCA">
      <w:pPr>
        <w:pStyle w:val="ListParagraph"/>
        <w:numPr>
          <w:ilvl w:val="0"/>
          <w:numId w:val="5"/>
        </w:numPr>
        <w:spacing w:line="276" w:lineRule="auto"/>
        <w:jc w:val="both"/>
        <w:rPr>
          <w:rFonts w:ascii="Garamond" w:hAnsi="Garamond"/>
          <w:sz w:val="24"/>
          <w:szCs w:val="24"/>
        </w:rPr>
      </w:pPr>
      <w:r w:rsidRPr="00801791">
        <w:rPr>
          <w:rFonts w:ascii="Garamond" w:hAnsi="Garamond"/>
          <w:sz w:val="24"/>
          <w:szCs w:val="24"/>
        </w:rPr>
        <w:t>Justificatory discourses for historical or future political settlements and constitutional arrangements</w:t>
      </w:r>
    </w:p>
    <w:p w14:paraId="41FB3659" w14:textId="77777777" w:rsidR="00044CCA" w:rsidRPr="00801791" w:rsidRDefault="00044CCA" w:rsidP="00044CCA">
      <w:pPr>
        <w:pStyle w:val="ListParagraph"/>
        <w:numPr>
          <w:ilvl w:val="0"/>
          <w:numId w:val="5"/>
        </w:numPr>
        <w:spacing w:line="276" w:lineRule="auto"/>
        <w:jc w:val="both"/>
        <w:rPr>
          <w:rFonts w:ascii="Garamond" w:hAnsi="Garamond"/>
          <w:sz w:val="24"/>
          <w:szCs w:val="24"/>
        </w:rPr>
      </w:pPr>
      <w:r w:rsidRPr="00801791">
        <w:rPr>
          <w:rFonts w:ascii="Garamond" w:hAnsi="Garamond"/>
          <w:sz w:val="24"/>
          <w:szCs w:val="24"/>
        </w:rPr>
        <w:t>Political theologies of the rule of law and democratic resilience</w:t>
      </w:r>
    </w:p>
    <w:p w14:paraId="5D60D01E" w14:textId="77777777" w:rsidR="00044CCA" w:rsidRPr="00801791" w:rsidRDefault="00044CCA" w:rsidP="00044CCA">
      <w:pPr>
        <w:pStyle w:val="ListParagraph"/>
        <w:numPr>
          <w:ilvl w:val="0"/>
          <w:numId w:val="5"/>
        </w:numPr>
        <w:spacing w:line="276" w:lineRule="auto"/>
        <w:jc w:val="both"/>
        <w:rPr>
          <w:rFonts w:ascii="Garamond" w:hAnsi="Garamond"/>
          <w:sz w:val="24"/>
          <w:szCs w:val="24"/>
        </w:rPr>
      </w:pPr>
      <w:r w:rsidRPr="00801791">
        <w:rPr>
          <w:rFonts w:ascii="Garamond" w:hAnsi="Garamond"/>
          <w:sz w:val="24"/>
          <w:szCs w:val="24"/>
        </w:rPr>
        <w:t>Political theologies of pluralism and a democratic common life</w:t>
      </w:r>
    </w:p>
    <w:p w14:paraId="661CFC4B" w14:textId="154A065F" w:rsidR="00044CCA" w:rsidRPr="00801791" w:rsidRDefault="00044CCA" w:rsidP="00044CCA">
      <w:pPr>
        <w:pStyle w:val="ListParagraph"/>
        <w:numPr>
          <w:ilvl w:val="0"/>
          <w:numId w:val="5"/>
        </w:numPr>
        <w:spacing w:line="276" w:lineRule="auto"/>
        <w:jc w:val="both"/>
        <w:rPr>
          <w:rFonts w:ascii="Garamond" w:hAnsi="Garamond"/>
          <w:sz w:val="24"/>
          <w:szCs w:val="24"/>
        </w:rPr>
      </w:pPr>
      <w:r w:rsidRPr="00801791">
        <w:rPr>
          <w:rFonts w:ascii="Garamond" w:hAnsi="Garamond"/>
          <w:sz w:val="24"/>
          <w:szCs w:val="24"/>
        </w:rPr>
        <w:t>The role of transnational religious movements/networks in anti-liberal and liberal politic</w:t>
      </w:r>
      <w:r w:rsidR="00EB48EC" w:rsidRPr="00801791">
        <w:rPr>
          <w:rFonts w:ascii="Garamond" w:hAnsi="Garamond"/>
          <w:sz w:val="24"/>
          <w:szCs w:val="24"/>
        </w:rPr>
        <w:t>al movements</w:t>
      </w:r>
      <w:r w:rsidRPr="00801791">
        <w:rPr>
          <w:rFonts w:ascii="Garamond" w:hAnsi="Garamond"/>
          <w:sz w:val="24"/>
          <w:szCs w:val="24"/>
        </w:rPr>
        <w:t>, ‘lawfare’ and culture wars</w:t>
      </w:r>
      <w:r w:rsidR="00EB48EC" w:rsidRPr="00801791">
        <w:rPr>
          <w:rFonts w:ascii="Garamond" w:hAnsi="Garamond"/>
          <w:sz w:val="24"/>
          <w:szCs w:val="24"/>
        </w:rPr>
        <w:t xml:space="preserve"> as these relate to fundamental questions of political order</w:t>
      </w:r>
    </w:p>
    <w:p w14:paraId="5102AB20" w14:textId="5F765552" w:rsidR="00CC7023" w:rsidRPr="00801791" w:rsidRDefault="00CC7023" w:rsidP="00044CCA">
      <w:pPr>
        <w:pStyle w:val="ListParagraph"/>
        <w:numPr>
          <w:ilvl w:val="0"/>
          <w:numId w:val="5"/>
        </w:numPr>
        <w:spacing w:line="276" w:lineRule="auto"/>
        <w:jc w:val="both"/>
        <w:rPr>
          <w:rFonts w:ascii="Garamond" w:hAnsi="Garamond"/>
          <w:sz w:val="24"/>
          <w:szCs w:val="24"/>
        </w:rPr>
      </w:pPr>
      <w:r w:rsidRPr="00801791">
        <w:rPr>
          <w:rFonts w:ascii="Garamond" w:hAnsi="Garamond"/>
          <w:sz w:val="24"/>
          <w:szCs w:val="24"/>
        </w:rPr>
        <w:t>Constitutions and the role of religion in relation to the politics of exception, emergency politics, and the suspension of the rule of law</w:t>
      </w:r>
    </w:p>
    <w:p w14:paraId="0107AA95" w14:textId="487B5B8B" w:rsidR="00044CCA" w:rsidRPr="00801791" w:rsidRDefault="00044CCA" w:rsidP="00044CCA">
      <w:pPr>
        <w:spacing w:line="276" w:lineRule="auto"/>
        <w:jc w:val="both"/>
        <w:rPr>
          <w:rFonts w:ascii="Garamond" w:hAnsi="Garamond"/>
          <w:sz w:val="24"/>
          <w:szCs w:val="24"/>
        </w:rPr>
      </w:pPr>
      <w:r w:rsidRPr="00801791">
        <w:rPr>
          <w:rFonts w:ascii="Garamond" w:hAnsi="Garamond"/>
          <w:sz w:val="24"/>
          <w:szCs w:val="24"/>
        </w:rPr>
        <w:t xml:space="preserve">Please send a proposed paper title, short abstract (c. 200 words) and short biography to </w:t>
      </w:r>
      <w:hyperlink r:id="rId10" w:history="1">
        <w:r w:rsidR="00801791" w:rsidRPr="00801791">
          <w:rPr>
            <w:rStyle w:val="Hyperlink"/>
            <w:rFonts w:ascii="Garamond" w:hAnsi="Garamond"/>
            <w:sz w:val="24"/>
            <w:szCs w:val="24"/>
          </w:rPr>
          <w:t>mdcv2@cam.ac.uk</w:t>
        </w:r>
      </w:hyperlink>
      <w:r w:rsidR="00801791" w:rsidRPr="00801791">
        <w:rPr>
          <w:rFonts w:ascii="Garamond" w:hAnsi="Garamond"/>
          <w:sz w:val="24"/>
          <w:szCs w:val="24"/>
        </w:rPr>
        <w:t xml:space="preserve"> or </w:t>
      </w:r>
      <w:hyperlink r:id="rId11" w:history="1">
        <w:r w:rsidR="00801791" w:rsidRPr="00801791">
          <w:rPr>
            <w:rStyle w:val="Hyperlink"/>
            <w:rFonts w:ascii="Garamond" w:hAnsi="Garamond"/>
            <w:sz w:val="24"/>
            <w:szCs w:val="24"/>
          </w:rPr>
          <w:t>pamela.slotte.russo@abo.fi</w:t>
        </w:r>
      </w:hyperlink>
      <w:r w:rsidR="00801791" w:rsidRPr="00801791">
        <w:rPr>
          <w:rFonts w:ascii="Garamond" w:hAnsi="Garamond"/>
          <w:sz w:val="24"/>
          <w:szCs w:val="24"/>
        </w:rPr>
        <w:t xml:space="preserve"> </w:t>
      </w:r>
      <w:r w:rsidRPr="00801791">
        <w:rPr>
          <w:rFonts w:ascii="Garamond" w:hAnsi="Garamond"/>
          <w:sz w:val="24"/>
          <w:szCs w:val="24"/>
        </w:rPr>
        <w:t>by 6 December 2025. Decisions will be released by 17 December 2025. Short conference briefs of ca. 2,000 words are due by 1 April 2026.</w:t>
      </w:r>
    </w:p>
    <w:p w14:paraId="0D6D6DFD" w14:textId="77777777" w:rsidR="00044CCA" w:rsidRPr="00801791" w:rsidRDefault="00044CCA" w:rsidP="00044CCA">
      <w:pPr>
        <w:spacing w:line="276" w:lineRule="auto"/>
        <w:jc w:val="both"/>
        <w:rPr>
          <w:rFonts w:ascii="Garamond" w:hAnsi="Garamond"/>
          <w:sz w:val="24"/>
          <w:szCs w:val="24"/>
        </w:rPr>
      </w:pPr>
    </w:p>
    <w:p w14:paraId="1E27C7BC" w14:textId="77777777" w:rsidR="00044CCA" w:rsidRPr="00801791" w:rsidRDefault="00044CCA" w:rsidP="00044CCA">
      <w:pPr>
        <w:spacing w:line="276" w:lineRule="auto"/>
        <w:jc w:val="both"/>
        <w:rPr>
          <w:rFonts w:ascii="Garamond" w:hAnsi="Garamond"/>
          <w:sz w:val="24"/>
          <w:szCs w:val="24"/>
        </w:rPr>
      </w:pPr>
      <w:r w:rsidRPr="00801791">
        <w:rPr>
          <w:rFonts w:ascii="Garamond" w:hAnsi="Garamond"/>
          <w:b/>
          <w:bCs/>
          <w:sz w:val="24"/>
          <w:szCs w:val="24"/>
        </w:rPr>
        <w:t>Associated events</w:t>
      </w:r>
    </w:p>
    <w:p w14:paraId="77263436" w14:textId="6B1E881B" w:rsidR="00044CCA" w:rsidRPr="00801791" w:rsidRDefault="00044CCA" w:rsidP="00044CCA">
      <w:pPr>
        <w:spacing w:line="276" w:lineRule="auto"/>
        <w:jc w:val="both"/>
        <w:rPr>
          <w:rFonts w:ascii="Garamond" w:hAnsi="Garamond"/>
          <w:sz w:val="24"/>
          <w:szCs w:val="24"/>
        </w:rPr>
      </w:pPr>
      <w:r w:rsidRPr="00801791">
        <w:rPr>
          <w:rFonts w:ascii="Garamond" w:hAnsi="Garamond"/>
          <w:sz w:val="24"/>
          <w:szCs w:val="24"/>
        </w:rPr>
        <w:t>A college dinner will be hosted on the evening of</w:t>
      </w:r>
      <w:r w:rsidR="00801791" w:rsidRPr="00801791">
        <w:rPr>
          <w:rFonts w:ascii="Garamond" w:hAnsi="Garamond"/>
          <w:sz w:val="24"/>
          <w:szCs w:val="24"/>
        </w:rPr>
        <w:t xml:space="preserve"> Thursday 23 April 2026</w:t>
      </w:r>
      <w:r w:rsidRPr="00801791">
        <w:rPr>
          <w:rFonts w:ascii="Garamond" w:hAnsi="Garamond"/>
          <w:sz w:val="24"/>
          <w:szCs w:val="24"/>
        </w:rPr>
        <w:t>. The dinner will be included as an optional item at registration and is open to speakers and attendees of the conference.</w:t>
      </w:r>
    </w:p>
    <w:p w14:paraId="0FADFAD0" w14:textId="77777777" w:rsidR="00044CCA" w:rsidRPr="00801791" w:rsidRDefault="00044CCA" w:rsidP="00044CCA">
      <w:pPr>
        <w:spacing w:line="276" w:lineRule="auto"/>
        <w:jc w:val="both"/>
        <w:rPr>
          <w:rFonts w:ascii="Garamond" w:hAnsi="Garamond"/>
          <w:sz w:val="24"/>
          <w:szCs w:val="24"/>
        </w:rPr>
      </w:pPr>
    </w:p>
    <w:p w14:paraId="207BAABF" w14:textId="77777777" w:rsidR="00044CCA" w:rsidRPr="00801791" w:rsidRDefault="00044CCA" w:rsidP="00044CCA">
      <w:pPr>
        <w:spacing w:line="276" w:lineRule="auto"/>
        <w:jc w:val="both"/>
        <w:rPr>
          <w:rFonts w:ascii="Garamond" w:hAnsi="Garamond"/>
          <w:b/>
          <w:bCs/>
          <w:sz w:val="24"/>
          <w:szCs w:val="24"/>
        </w:rPr>
      </w:pPr>
      <w:r w:rsidRPr="00801791">
        <w:rPr>
          <w:rFonts w:ascii="Garamond" w:hAnsi="Garamond"/>
          <w:b/>
          <w:bCs/>
          <w:sz w:val="24"/>
          <w:szCs w:val="24"/>
        </w:rPr>
        <w:t>Funding and embedding</w:t>
      </w:r>
    </w:p>
    <w:p w14:paraId="4352292B" w14:textId="759BC5D6" w:rsidR="00044CCA" w:rsidRPr="00801791" w:rsidRDefault="00044CCA" w:rsidP="00044CCA">
      <w:pPr>
        <w:spacing w:line="276" w:lineRule="auto"/>
        <w:jc w:val="both"/>
        <w:rPr>
          <w:rFonts w:ascii="Garamond" w:hAnsi="Garamond"/>
          <w:sz w:val="24"/>
          <w:szCs w:val="24"/>
        </w:rPr>
      </w:pPr>
      <w:r w:rsidRPr="00801791">
        <w:rPr>
          <w:rFonts w:ascii="Garamond" w:hAnsi="Garamond"/>
          <w:sz w:val="24"/>
          <w:szCs w:val="24"/>
        </w:rPr>
        <w:t xml:space="preserve">A limited number of </w:t>
      </w:r>
      <w:r w:rsidR="00801791" w:rsidRPr="00801791">
        <w:rPr>
          <w:rFonts w:ascii="Garamond" w:hAnsi="Garamond"/>
          <w:sz w:val="24"/>
          <w:szCs w:val="24"/>
        </w:rPr>
        <w:t>travel bursaries may</w:t>
      </w:r>
      <w:r w:rsidRPr="00801791">
        <w:rPr>
          <w:rFonts w:ascii="Garamond" w:hAnsi="Garamond"/>
          <w:sz w:val="24"/>
          <w:szCs w:val="24"/>
        </w:rPr>
        <w:t xml:space="preserve"> be offered to speakers based on need. Cost of travel will only be considered in exceptional circumstances and applicants must make a strong case that no other funding is available to them. All requests for bursaries must be submitted by 6 December 2025.</w:t>
      </w:r>
    </w:p>
    <w:p w14:paraId="420230E9" w14:textId="08297663" w:rsidR="00044CCA" w:rsidRPr="00801791" w:rsidRDefault="00044CCA" w:rsidP="00044CCA">
      <w:pPr>
        <w:spacing w:line="276" w:lineRule="auto"/>
        <w:jc w:val="both"/>
        <w:rPr>
          <w:rFonts w:ascii="Garamond" w:hAnsi="Garamond"/>
          <w:sz w:val="24"/>
          <w:szCs w:val="24"/>
        </w:rPr>
      </w:pPr>
      <w:r w:rsidRPr="00801791">
        <w:rPr>
          <w:rFonts w:ascii="Garamond" w:hAnsi="Garamond"/>
          <w:sz w:val="24"/>
          <w:szCs w:val="24"/>
        </w:rPr>
        <w:t xml:space="preserve">This conference is generously funded by the </w:t>
      </w:r>
      <w:proofErr w:type="spellStart"/>
      <w:r w:rsidRPr="00801791">
        <w:rPr>
          <w:rFonts w:ascii="Garamond" w:hAnsi="Garamond"/>
          <w:sz w:val="24"/>
          <w:szCs w:val="24"/>
        </w:rPr>
        <w:t>Landecker</w:t>
      </w:r>
      <w:proofErr w:type="spellEnd"/>
      <w:r w:rsidRPr="00801791">
        <w:rPr>
          <w:rFonts w:ascii="Garamond" w:hAnsi="Garamond"/>
          <w:sz w:val="24"/>
          <w:szCs w:val="24"/>
        </w:rPr>
        <w:t xml:space="preserve"> Foundation, DAAD-Cambridge Research Hub for German Studies, </w:t>
      </w:r>
      <w:r w:rsidR="00801791" w:rsidRPr="00801791">
        <w:rPr>
          <w:rFonts w:ascii="Garamond" w:hAnsi="Garamond"/>
          <w:sz w:val="24"/>
          <w:szCs w:val="24"/>
        </w:rPr>
        <w:t xml:space="preserve">the </w:t>
      </w:r>
      <w:r w:rsidR="00801791" w:rsidRPr="00801791">
        <w:rPr>
          <w:rFonts w:ascii="Garamond" w:hAnsi="Garamond"/>
          <w:sz w:val="24"/>
          <w:szCs w:val="24"/>
        </w:rPr>
        <w:t xml:space="preserve">Chair of Religion and Law at </w:t>
      </w:r>
      <w:proofErr w:type="spellStart"/>
      <w:r w:rsidR="00801791" w:rsidRPr="00801791">
        <w:rPr>
          <w:rFonts w:ascii="Garamond" w:hAnsi="Garamond"/>
          <w:sz w:val="24"/>
          <w:szCs w:val="24"/>
        </w:rPr>
        <w:t>Åbo</w:t>
      </w:r>
      <w:proofErr w:type="spellEnd"/>
      <w:r w:rsidR="00801791" w:rsidRPr="00801791">
        <w:rPr>
          <w:rFonts w:ascii="Garamond" w:hAnsi="Garamond"/>
          <w:sz w:val="24"/>
          <w:szCs w:val="24"/>
        </w:rPr>
        <w:t xml:space="preserve"> </w:t>
      </w:r>
      <w:proofErr w:type="spellStart"/>
      <w:r w:rsidR="00801791" w:rsidRPr="00801791">
        <w:rPr>
          <w:rFonts w:ascii="Garamond" w:hAnsi="Garamond"/>
          <w:sz w:val="24"/>
          <w:szCs w:val="24"/>
        </w:rPr>
        <w:t>Akademi</w:t>
      </w:r>
      <w:proofErr w:type="spellEnd"/>
      <w:r w:rsidR="00801791" w:rsidRPr="00801791">
        <w:rPr>
          <w:rFonts w:ascii="Garamond" w:hAnsi="Garamond"/>
          <w:sz w:val="24"/>
          <w:szCs w:val="24"/>
        </w:rPr>
        <w:t xml:space="preserve"> University</w:t>
      </w:r>
      <w:r w:rsidR="00801791" w:rsidRPr="00801791">
        <w:rPr>
          <w:rFonts w:ascii="Garamond" w:hAnsi="Garamond"/>
          <w:sz w:val="24"/>
          <w:szCs w:val="24"/>
        </w:rPr>
        <w:t xml:space="preserve">, </w:t>
      </w:r>
      <w:r w:rsidRPr="00801791">
        <w:rPr>
          <w:rFonts w:ascii="Garamond" w:hAnsi="Garamond"/>
          <w:sz w:val="24"/>
          <w:szCs w:val="24"/>
        </w:rPr>
        <w:t xml:space="preserve">the Huffington Ecumenical Institute of Loyola Marymount University, the Inez and Julius Polin Institute for Theological Research and the McDonald Centre for Theology, Ethics, and Public Life at the University of Oxford. </w:t>
      </w:r>
    </w:p>
    <w:p w14:paraId="42323CC0" w14:textId="792523BF" w:rsidR="00143497" w:rsidRPr="00801791" w:rsidRDefault="00044CCA" w:rsidP="00044CCA">
      <w:pPr>
        <w:spacing w:line="276" w:lineRule="auto"/>
        <w:jc w:val="both"/>
        <w:rPr>
          <w:rFonts w:ascii="Garamond" w:hAnsi="Garamond"/>
          <w:sz w:val="24"/>
          <w:szCs w:val="24"/>
        </w:rPr>
      </w:pPr>
      <w:r w:rsidRPr="00801791">
        <w:rPr>
          <w:rFonts w:ascii="Garamond" w:hAnsi="Garamond"/>
          <w:sz w:val="24"/>
          <w:szCs w:val="24"/>
        </w:rPr>
        <w:t xml:space="preserve">The Political Theologies conference series grew out of the Protestant Political Thought project, hosted at the Blavatnik School of Government, Oxford and continues as part of the </w:t>
      </w:r>
      <w:proofErr w:type="spellStart"/>
      <w:r w:rsidRPr="00801791">
        <w:rPr>
          <w:rFonts w:ascii="Garamond" w:hAnsi="Garamond"/>
          <w:sz w:val="24"/>
          <w:szCs w:val="24"/>
        </w:rPr>
        <w:t>Landecker</w:t>
      </w:r>
      <w:proofErr w:type="spellEnd"/>
      <w:r w:rsidRPr="00801791">
        <w:rPr>
          <w:rFonts w:ascii="Garamond" w:hAnsi="Garamond"/>
          <w:sz w:val="24"/>
          <w:szCs w:val="24"/>
        </w:rPr>
        <w:t xml:space="preserve"> Lectureship ‘Imagining Sacred Lands’ at the University of Cambridge. This project has featured a series of workshops and conferences, many of which have led to collaborative publications, including in The Journal of the Bible and its Reception (2021), Religion, State, Society (2022), as well as the edited collection </w:t>
      </w:r>
      <w:r w:rsidRPr="00801791">
        <w:rPr>
          <w:rFonts w:ascii="Garamond" w:hAnsi="Garamond"/>
          <w:i/>
          <w:iCs/>
          <w:sz w:val="24"/>
          <w:szCs w:val="24"/>
        </w:rPr>
        <w:t>The Many Faces of Christianism: The ‘Russian World’ in Europe</w:t>
      </w:r>
      <w:r w:rsidRPr="00801791">
        <w:rPr>
          <w:rFonts w:ascii="Garamond" w:hAnsi="Garamond"/>
          <w:sz w:val="24"/>
          <w:szCs w:val="24"/>
        </w:rPr>
        <w:t xml:space="preserve"> (2025).</w:t>
      </w:r>
      <w:r w:rsidR="00801791" w:rsidRPr="00801791">
        <w:rPr>
          <w:rFonts w:ascii="Garamond" w:hAnsi="Garamond"/>
          <w:sz w:val="24"/>
          <w:szCs w:val="24"/>
        </w:rPr>
        <w:t xml:space="preserve"> For more information, email Marietta van der Tol at mdcv2@cam.ac.uk.</w:t>
      </w:r>
    </w:p>
    <w:sectPr w:rsidR="00143497" w:rsidRPr="00801791" w:rsidSect="00044CCA">
      <w:pgSz w:w="11906" w:h="16838"/>
      <w:pgMar w:top="1276" w:right="1440"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2D019C2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11.1pt;height:11.1pt" o:bullet="t">
        <v:imagedata r:id="rId1" o:title="msoF8D"/>
      </v:shape>
    </w:pict>
  </w:numPicBullet>
  <w:abstractNum w:abstractNumId="0" w15:restartNumberingAfterBreak="0">
    <w:nsid w:val="0DAA5F1B"/>
    <w:multiLevelType w:val="hybridMultilevel"/>
    <w:tmpl w:val="A6CED2B8"/>
    <w:lvl w:ilvl="0" w:tplc="08090007">
      <w:start w:val="1"/>
      <w:numFmt w:val="bullet"/>
      <w:lvlText w:val=""/>
      <w:lvlPicBulletId w:val="0"/>
      <w:lvlJc w:val="left"/>
      <w:pPr>
        <w:ind w:left="1400" w:hanging="68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 w15:restartNumberingAfterBreak="0">
    <w:nsid w:val="36051470"/>
    <w:multiLevelType w:val="hybridMultilevel"/>
    <w:tmpl w:val="F2184B7A"/>
    <w:lvl w:ilvl="0" w:tplc="69D2111E">
      <w:start w:val="1"/>
      <w:numFmt w:val="decimal"/>
      <w:lvlText w:val="%1)"/>
      <w:lvlJc w:val="left"/>
      <w:pPr>
        <w:ind w:left="850" w:hanging="49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D4D4EC8"/>
    <w:multiLevelType w:val="hybridMultilevel"/>
    <w:tmpl w:val="0BB0D61E"/>
    <w:lvl w:ilvl="0" w:tplc="0ABC50E8">
      <w:numFmt w:val="bullet"/>
      <w:lvlText w:val="-"/>
      <w:lvlJc w:val="left"/>
      <w:pPr>
        <w:ind w:left="1400" w:hanging="680"/>
      </w:pPr>
      <w:rPr>
        <w:rFonts w:ascii="Aptos" w:eastAsiaTheme="minorHAnsi" w:hAnsi="Aptos"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6EBE4480"/>
    <w:multiLevelType w:val="hybridMultilevel"/>
    <w:tmpl w:val="C56EC772"/>
    <w:lvl w:ilvl="0" w:tplc="0ABC50E8">
      <w:numFmt w:val="bullet"/>
      <w:lvlText w:val="-"/>
      <w:lvlJc w:val="left"/>
      <w:pPr>
        <w:ind w:left="1040" w:hanging="68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2185480"/>
    <w:multiLevelType w:val="hybridMultilevel"/>
    <w:tmpl w:val="0866A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4688137">
    <w:abstractNumId w:val="4"/>
  </w:num>
  <w:num w:numId="2" w16cid:durableId="961812861">
    <w:abstractNumId w:val="3"/>
  </w:num>
  <w:num w:numId="3" w16cid:durableId="2147238240">
    <w:abstractNumId w:val="2"/>
  </w:num>
  <w:num w:numId="4" w16cid:durableId="1236741384">
    <w:abstractNumId w:val="0"/>
  </w:num>
  <w:num w:numId="5" w16cid:durableId="2740219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094"/>
    <w:rsid w:val="00044CCA"/>
    <w:rsid w:val="000C0485"/>
    <w:rsid w:val="001003FA"/>
    <w:rsid w:val="00101094"/>
    <w:rsid w:val="00121CEA"/>
    <w:rsid w:val="00143497"/>
    <w:rsid w:val="00262A17"/>
    <w:rsid w:val="00277962"/>
    <w:rsid w:val="003007D4"/>
    <w:rsid w:val="003A213A"/>
    <w:rsid w:val="00480072"/>
    <w:rsid w:val="006F7EAD"/>
    <w:rsid w:val="007E51AB"/>
    <w:rsid w:val="00801791"/>
    <w:rsid w:val="00856DF6"/>
    <w:rsid w:val="00B10278"/>
    <w:rsid w:val="00B151A6"/>
    <w:rsid w:val="00CC7023"/>
    <w:rsid w:val="00DF5304"/>
    <w:rsid w:val="00E27640"/>
    <w:rsid w:val="00EB48EC"/>
    <w:rsid w:val="00F11D27"/>
    <w:rsid w:val="00F24D2B"/>
    <w:rsid w:val="00F265D6"/>
    <w:rsid w:val="00FE6776"/>
    <w:rsid w:val="00FE7D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8EFD6"/>
  <w15:chartTrackingRefBased/>
  <w15:docId w15:val="{504E6CE3-80FD-4D0D-ADBE-4B06960B9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010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010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0109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0109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0109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010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10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10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10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109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0109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0109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0109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0109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010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10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10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1094"/>
    <w:rPr>
      <w:rFonts w:eastAsiaTheme="majorEastAsia" w:cstheme="majorBidi"/>
      <w:color w:val="272727" w:themeColor="text1" w:themeTint="D8"/>
    </w:rPr>
  </w:style>
  <w:style w:type="paragraph" w:styleId="Title">
    <w:name w:val="Title"/>
    <w:basedOn w:val="Normal"/>
    <w:next w:val="Normal"/>
    <w:link w:val="TitleChar"/>
    <w:uiPriority w:val="10"/>
    <w:qFormat/>
    <w:rsid w:val="001010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10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10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10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1094"/>
    <w:pPr>
      <w:spacing w:before="160"/>
      <w:jc w:val="center"/>
    </w:pPr>
    <w:rPr>
      <w:i/>
      <w:iCs/>
      <w:color w:val="404040" w:themeColor="text1" w:themeTint="BF"/>
    </w:rPr>
  </w:style>
  <w:style w:type="character" w:customStyle="1" w:styleId="QuoteChar">
    <w:name w:val="Quote Char"/>
    <w:basedOn w:val="DefaultParagraphFont"/>
    <w:link w:val="Quote"/>
    <w:uiPriority w:val="29"/>
    <w:rsid w:val="00101094"/>
    <w:rPr>
      <w:i/>
      <w:iCs/>
      <w:color w:val="404040" w:themeColor="text1" w:themeTint="BF"/>
    </w:rPr>
  </w:style>
  <w:style w:type="paragraph" w:styleId="ListParagraph">
    <w:name w:val="List Paragraph"/>
    <w:basedOn w:val="Normal"/>
    <w:uiPriority w:val="34"/>
    <w:qFormat/>
    <w:rsid w:val="00101094"/>
    <w:pPr>
      <w:ind w:left="720"/>
      <w:contextualSpacing/>
    </w:pPr>
  </w:style>
  <w:style w:type="character" w:styleId="IntenseEmphasis">
    <w:name w:val="Intense Emphasis"/>
    <w:basedOn w:val="DefaultParagraphFont"/>
    <w:uiPriority w:val="21"/>
    <w:qFormat/>
    <w:rsid w:val="00101094"/>
    <w:rPr>
      <w:i/>
      <w:iCs/>
      <w:color w:val="0F4761" w:themeColor="accent1" w:themeShade="BF"/>
    </w:rPr>
  </w:style>
  <w:style w:type="paragraph" w:styleId="IntenseQuote">
    <w:name w:val="Intense Quote"/>
    <w:basedOn w:val="Normal"/>
    <w:next w:val="Normal"/>
    <w:link w:val="IntenseQuoteChar"/>
    <w:uiPriority w:val="30"/>
    <w:qFormat/>
    <w:rsid w:val="001010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01094"/>
    <w:rPr>
      <w:i/>
      <w:iCs/>
      <w:color w:val="0F4761" w:themeColor="accent1" w:themeShade="BF"/>
    </w:rPr>
  </w:style>
  <w:style w:type="character" w:styleId="IntenseReference">
    <w:name w:val="Intense Reference"/>
    <w:basedOn w:val="DefaultParagraphFont"/>
    <w:uiPriority w:val="32"/>
    <w:qFormat/>
    <w:rsid w:val="00101094"/>
    <w:rPr>
      <w:b/>
      <w:bCs/>
      <w:smallCaps/>
      <w:color w:val="0F4761" w:themeColor="accent1" w:themeShade="BF"/>
      <w:spacing w:val="5"/>
    </w:rPr>
  </w:style>
  <w:style w:type="paragraph" w:styleId="NormalWeb">
    <w:name w:val="Normal (Web)"/>
    <w:basedOn w:val="Normal"/>
    <w:uiPriority w:val="99"/>
    <w:unhideWhenUsed/>
    <w:rsid w:val="00101094"/>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unhideWhenUsed/>
    <w:rsid w:val="00101094"/>
    <w:rPr>
      <w:color w:val="0000FF"/>
      <w:u w:val="single"/>
    </w:rPr>
  </w:style>
  <w:style w:type="paragraph" w:styleId="Revision">
    <w:name w:val="Revision"/>
    <w:hidden/>
    <w:uiPriority w:val="99"/>
    <w:semiHidden/>
    <w:rsid w:val="00EB48EC"/>
    <w:pPr>
      <w:spacing w:after="0" w:line="240" w:lineRule="auto"/>
    </w:pPr>
  </w:style>
  <w:style w:type="character" w:styleId="UnresolvedMention">
    <w:name w:val="Unresolved Mention"/>
    <w:basedOn w:val="DefaultParagraphFont"/>
    <w:uiPriority w:val="99"/>
    <w:semiHidden/>
    <w:unhideWhenUsed/>
    <w:rsid w:val="008017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942736">
      <w:bodyDiv w:val="1"/>
      <w:marLeft w:val="0"/>
      <w:marRight w:val="0"/>
      <w:marTop w:val="0"/>
      <w:marBottom w:val="0"/>
      <w:divBdr>
        <w:top w:val="none" w:sz="0" w:space="0" w:color="auto"/>
        <w:left w:val="none" w:sz="0" w:space="0" w:color="auto"/>
        <w:bottom w:val="none" w:sz="0" w:space="0" w:color="auto"/>
        <w:right w:val="none" w:sz="0" w:space="0" w:color="auto"/>
      </w:divBdr>
    </w:div>
    <w:div w:id="427046724">
      <w:bodyDiv w:val="1"/>
      <w:marLeft w:val="0"/>
      <w:marRight w:val="0"/>
      <w:marTop w:val="0"/>
      <w:marBottom w:val="0"/>
      <w:divBdr>
        <w:top w:val="none" w:sz="0" w:space="0" w:color="auto"/>
        <w:left w:val="none" w:sz="0" w:space="0" w:color="auto"/>
        <w:bottom w:val="none" w:sz="0" w:space="0" w:color="auto"/>
        <w:right w:val="none" w:sz="0" w:space="0" w:color="auto"/>
      </w:divBdr>
    </w:div>
    <w:div w:id="607467278">
      <w:bodyDiv w:val="1"/>
      <w:marLeft w:val="0"/>
      <w:marRight w:val="0"/>
      <w:marTop w:val="0"/>
      <w:marBottom w:val="0"/>
      <w:divBdr>
        <w:top w:val="none" w:sz="0" w:space="0" w:color="auto"/>
        <w:left w:val="none" w:sz="0" w:space="0" w:color="auto"/>
        <w:bottom w:val="none" w:sz="0" w:space="0" w:color="auto"/>
        <w:right w:val="none" w:sz="0" w:space="0" w:color="auto"/>
      </w:divBdr>
    </w:div>
    <w:div w:id="1551184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4.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3.jpeg"/><Relationship Id="rId11" Type="http://schemas.openxmlformats.org/officeDocument/2006/relationships/hyperlink" Target="mailto:pamela.slotte.russo@abo.fi" TargetMode="External"/><Relationship Id="rId5" Type="http://schemas.openxmlformats.org/officeDocument/2006/relationships/image" Target="media/image2.jpeg"/><Relationship Id="rId10" Type="http://schemas.openxmlformats.org/officeDocument/2006/relationships/hyperlink" Target="mailto:mdcv2@cam.ac.uk" TargetMode="External"/><Relationship Id="rId4" Type="http://schemas.openxmlformats.org/officeDocument/2006/relationships/webSettings" Target="webSettings.xml"/><Relationship Id="rId9" Type="http://schemas.openxmlformats.org/officeDocument/2006/relationships/image" Target="media/image6.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701</Words>
  <Characters>4003</Characters>
  <Application>Microsoft Office Word</Application>
  <DocSecurity>0</DocSecurity>
  <Lines>81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Marietta van der Tol</dc:creator>
  <cp:keywords/>
  <dc:description/>
  <cp:lastModifiedBy>Marietta van der Tol</cp:lastModifiedBy>
  <cp:revision>2</cp:revision>
  <cp:lastPrinted>2024-10-21T02:53:00Z</cp:lastPrinted>
  <dcterms:created xsi:type="dcterms:W3CDTF">2025-10-06T15:59:00Z</dcterms:created>
  <dcterms:modified xsi:type="dcterms:W3CDTF">2025-10-06T15:59:00Z</dcterms:modified>
</cp:coreProperties>
</file>